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07166B" w:rsidRPr="0007166B">
        <w:rPr>
          <w:b w:val="0"/>
          <w:sz w:val="24"/>
          <w:szCs w:val="24"/>
        </w:rPr>
        <w:t xml:space="preserve">ПРИЛОЖЕНИЕ 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proofErr w:type="spellStart"/>
      <w:r w:rsidR="005D6D08">
        <w:rPr>
          <w:b w:val="0"/>
          <w:sz w:val="26"/>
          <w:szCs w:val="26"/>
          <w:u w:val="single"/>
        </w:rPr>
        <w:t>Сл</w:t>
      </w:r>
      <w:proofErr w:type="spellEnd"/>
      <w:r w:rsidR="003F481A" w:rsidRPr="0040688D">
        <w:rPr>
          <w:b w:val="0"/>
          <w:sz w:val="26"/>
          <w:szCs w:val="26"/>
          <w:u w:val="single"/>
        </w:rPr>
        <w:t xml:space="preserve"> 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BA1110">
        <w:rPr>
          <w:sz w:val="26"/>
          <w:szCs w:val="26"/>
        </w:rPr>
        <w:t>__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</w:t>
      </w:r>
      <w:proofErr w:type="gramEnd"/>
      <w:r w:rsidR="00CA0B25" w:rsidRPr="00CA0B25">
        <w:rPr>
          <w:sz w:val="26"/>
          <w:szCs w:val="26"/>
        </w:rPr>
        <w:t xml:space="preserve"> области 12</w:t>
      </w:r>
      <w:r>
        <w:rPr>
          <w:sz w:val="26"/>
          <w:szCs w:val="26"/>
        </w:rPr>
        <w:t xml:space="preserve"> августа </w:t>
      </w:r>
      <w:r w:rsidR="00574D6D">
        <w:rPr>
          <w:sz w:val="26"/>
          <w:szCs w:val="26"/>
        </w:rPr>
        <w:t xml:space="preserve">                     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1063 (бланк  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       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</w:t>
      </w:r>
      <w:r w:rsidR="008B0C5C"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ежилое помещение площадью </w:t>
      </w:r>
      <w:r w:rsidR="00CE2BCA">
        <w:rPr>
          <w:sz w:val="26"/>
          <w:szCs w:val="26"/>
        </w:rPr>
        <w:t>42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м, расположенное                на </w:t>
      </w:r>
      <w:r w:rsidR="00CE2BCA">
        <w:rPr>
          <w:sz w:val="26"/>
          <w:szCs w:val="26"/>
        </w:rPr>
        <w:t>антресольном этаже многоквартирного дома</w:t>
      </w:r>
      <w:r w:rsidRPr="00C27560">
        <w:rPr>
          <w:sz w:val="26"/>
          <w:szCs w:val="26"/>
        </w:rPr>
        <w:t xml:space="preserve"> по адресу: </w:t>
      </w:r>
      <w:r w:rsidR="00BC00E3"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 w:rsidR="00BC00E3">
        <w:rPr>
          <w:sz w:val="26"/>
          <w:szCs w:val="26"/>
        </w:rPr>
        <w:t xml:space="preserve">городской округ "Город Архангельск", город Архангельск, </w:t>
      </w:r>
      <w:r w:rsidR="00574D6D">
        <w:rPr>
          <w:sz w:val="26"/>
          <w:szCs w:val="26"/>
        </w:rPr>
        <w:t xml:space="preserve">                               </w:t>
      </w:r>
      <w:r w:rsidR="00BC00E3">
        <w:rPr>
          <w:sz w:val="26"/>
          <w:szCs w:val="26"/>
        </w:rPr>
        <w:t xml:space="preserve">улица </w:t>
      </w:r>
      <w:r w:rsidR="00CE2BCA">
        <w:rPr>
          <w:sz w:val="26"/>
          <w:szCs w:val="26"/>
        </w:rPr>
        <w:t>Советская</w:t>
      </w:r>
      <w:r w:rsidR="00BC00E3">
        <w:rPr>
          <w:sz w:val="26"/>
          <w:szCs w:val="26"/>
        </w:rPr>
        <w:t>,</w:t>
      </w:r>
      <w:r w:rsidR="00CE2BCA">
        <w:rPr>
          <w:sz w:val="26"/>
          <w:szCs w:val="26"/>
        </w:rPr>
        <w:t xml:space="preserve"> дом 32,</w:t>
      </w:r>
      <w:r w:rsidR="00BC00E3">
        <w:rPr>
          <w:sz w:val="26"/>
          <w:szCs w:val="26"/>
        </w:rPr>
        <w:t xml:space="preserve"> помещение </w:t>
      </w:r>
      <w:r w:rsidR="00CE2BCA">
        <w:rPr>
          <w:sz w:val="26"/>
          <w:szCs w:val="26"/>
        </w:rPr>
        <w:t>2</w:t>
      </w:r>
      <w:r w:rsidRPr="00C27560"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 xml:space="preserve">с </w:t>
      </w:r>
      <w:r w:rsidRPr="00C27560">
        <w:rPr>
          <w:sz w:val="26"/>
          <w:szCs w:val="26"/>
        </w:rPr>
        <w:t>кадастровы</w:t>
      </w:r>
      <w:r w:rsidR="00D92659">
        <w:rPr>
          <w:sz w:val="26"/>
          <w:szCs w:val="26"/>
        </w:rPr>
        <w:t>м</w:t>
      </w:r>
      <w:r w:rsidRPr="00C27560">
        <w:rPr>
          <w:sz w:val="26"/>
          <w:szCs w:val="26"/>
        </w:rPr>
        <w:t xml:space="preserve"> номер</w:t>
      </w:r>
      <w:r w:rsidR="00D92659">
        <w:rPr>
          <w:sz w:val="26"/>
          <w:szCs w:val="26"/>
        </w:rPr>
        <w:t>ом</w:t>
      </w:r>
      <w:r w:rsidRPr="00C27560">
        <w:rPr>
          <w:sz w:val="26"/>
          <w:szCs w:val="26"/>
        </w:rPr>
        <w:t xml:space="preserve"> 29:22:</w:t>
      </w:r>
      <w:r w:rsidR="00CE2BCA">
        <w:rPr>
          <w:sz w:val="26"/>
          <w:szCs w:val="26"/>
        </w:rPr>
        <w:t>022528</w:t>
      </w:r>
      <w:r w:rsidRPr="00C27560">
        <w:rPr>
          <w:sz w:val="26"/>
          <w:szCs w:val="26"/>
        </w:rPr>
        <w:t>:</w:t>
      </w:r>
      <w:r w:rsidR="00CE2BCA">
        <w:rPr>
          <w:sz w:val="26"/>
          <w:szCs w:val="26"/>
        </w:rPr>
        <w:t>510</w:t>
      </w:r>
      <w:r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>(</w:t>
      </w:r>
      <w:r w:rsidR="002B1507">
        <w:rPr>
          <w:sz w:val="26"/>
          <w:szCs w:val="26"/>
        </w:rPr>
        <w:t>помещени</w:t>
      </w:r>
      <w:r w:rsidR="00CE2BCA">
        <w:rPr>
          <w:sz w:val="26"/>
          <w:szCs w:val="26"/>
        </w:rPr>
        <w:t>е</w:t>
      </w:r>
      <w:r w:rsidR="00574D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CE2BCA">
        <w:rPr>
          <w:sz w:val="26"/>
          <w:szCs w:val="26"/>
        </w:rPr>
        <w:t>19</w:t>
      </w:r>
      <w:r w:rsidR="002B1507">
        <w:rPr>
          <w:sz w:val="26"/>
          <w:szCs w:val="26"/>
        </w:rPr>
        <w:t xml:space="preserve"> согласно поэтажному плану - </w:t>
      </w:r>
      <w:r w:rsidR="009E3745" w:rsidRPr="0040688D">
        <w:rPr>
          <w:sz w:val="26"/>
          <w:szCs w:val="26"/>
        </w:rPr>
        <w:t xml:space="preserve">Приложение № 1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CE2BCA">
        <w:rPr>
          <w:sz w:val="26"/>
          <w:szCs w:val="26"/>
        </w:rPr>
        <w:t xml:space="preserve">склад и </w:t>
      </w:r>
      <w:r w:rsidR="002B1507" w:rsidRPr="0040688D">
        <w:rPr>
          <w:sz w:val="26"/>
          <w:szCs w:val="26"/>
        </w:rPr>
        <w:t>бытовые услуги</w:t>
      </w:r>
      <w:r w:rsidR="00CE2BCA">
        <w:rPr>
          <w:sz w:val="26"/>
          <w:szCs w:val="26"/>
        </w:rPr>
        <w:t>.</w:t>
      </w:r>
      <w:r w:rsidR="009E3745" w:rsidRPr="0040688D">
        <w:rPr>
          <w:sz w:val="26"/>
          <w:szCs w:val="26"/>
        </w:rPr>
        <w:t xml:space="preserve">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proofErr w:type="gramStart"/>
      <w:r w:rsidR="009E3745" w:rsidRPr="0040688D">
        <w:rPr>
          <w:sz w:val="26"/>
          <w:szCs w:val="26"/>
        </w:rPr>
        <w:t>жилое</w:t>
      </w:r>
      <w:proofErr w:type="gramEnd"/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>кирпич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 xml:space="preserve"> 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2BCA">
        <w:rPr>
          <w:sz w:val="26"/>
          <w:szCs w:val="26"/>
        </w:rPr>
        <w:t>3 (три)</w:t>
      </w:r>
      <w:r w:rsidR="00CE1FBB" w:rsidRPr="0040688D">
        <w:rPr>
          <w:sz w:val="26"/>
          <w:szCs w:val="26"/>
        </w:rPr>
        <w:t xml:space="preserve"> </w:t>
      </w:r>
      <w:r w:rsidR="00CE2BCA">
        <w:rPr>
          <w:sz w:val="26"/>
          <w:szCs w:val="26"/>
        </w:rPr>
        <w:t>года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362EB1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В случае выявления необходимости ремонта Помещений </w:t>
      </w:r>
      <w:r w:rsidR="000A6F1D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              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lastRenderedPageBreak/>
        <w:t>- в течение 5 (пяти) календарных дней уведомить Арендодателя об окончании выполнения работ по перепланировке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- в течение 1 (одного) месяца после окончания работ внести изменения                         в техническую документацию, предоставив Арендодателю </w:t>
      </w:r>
      <w:r w:rsidRPr="00D92659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  со статьей 21 Федерального закона от 13 июля 2015 № 218-ФЗ "О государственной регистрации недвижимости".</w:t>
      </w:r>
      <w:r w:rsidRPr="00D92659">
        <w:rPr>
          <w:sz w:val="26"/>
          <w:szCs w:val="26"/>
        </w:rPr>
        <w:t xml:space="preserve">  </w:t>
      </w:r>
    </w:p>
    <w:p w:rsidR="00D92659" w:rsidRDefault="00D92659" w:rsidP="00D92659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D92659">
        <w:rPr>
          <w:sz w:val="26"/>
          <w:szCs w:val="26"/>
        </w:rPr>
        <w:t xml:space="preserve">При неисполнении Арендатором принятых обязательств, предусмотренных подпунктом 2.2.7 Договора, по представлению проекта перепланировки                                 и/ или переоборудования Помещений, по внесению изменений в техническую документацию Помещений и предоставлению </w:t>
      </w:r>
      <w:r w:rsidRPr="00D92659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                      от 13 июля 2015 № 218-ФЗ "О государственной регистрации недвижимости" Арендодатель имеет право выполнить указанные работы за счет собственных средств, при этом</w:t>
      </w:r>
      <w:proofErr w:type="gramEnd"/>
      <w:r w:rsidRPr="00D92659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CE2BCA" w:rsidRPr="000D4283" w:rsidRDefault="00EF674B" w:rsidP="00CE2BCA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proofErr w:type="gramStart"/>
      <w:r w:rsidR="00CE2BCA" w:rsidRPr="000D4283">
        <w:rPr>
          <w:sz w:val="26"/>
          <w:szCs w:val="26"/>
        </w:rPr>
        <w:t>Арендатор на вес</w:t>
      </w:r>
      <w:r w:rsidR="00CE2BCA">
        <w:rPr>
          <w:sz w:val="26"/>
          <w:szCs w:val="26"/>
        </w:rPr>
        <w:t>ь период использования Помещений</w:t>
      </w:r>
      <w:r w:rsidR="00CE2BCA" w:rsidRPr="000D4283">
        <w:rPr>
          <w:sz w:val="26"/>
          <w:szCs w:val="26"/>
        </w:rPr>
        <w:t xml:space="preserve"> в рамках Договора принимает на себя обязанности Арендодателя по содержанию Помещени</w:t>
      </w:r>
      <w:r w:rsidR="00CE2BCA">
        <w:rPr>
          <w:sz w:val="26"/>
          <w:szCs w:val="26"/>
        </w:rPr>
        <w:t>й</w:t>
      </w:r>
      <w:r w:rsidR="00CE2BCA" w:rsidRPr="000D4283">
        <w:rPr>
          <w:sz w:val="26"/>
          <w:szCs w:val="26"/>
        </w:rPr>
        <w:t xml:space="preserve"> (статья 210 Гражданского кодекса Российской Федерации), в том числе, обязанности по оплате коммунальных услуг, оказанных в период использования Помещени</w:t>
      </w:r>
      <w:r w:rsidR="00CE2BCA">
        <w:rPr>
          <w:sz w:val="26"/>
          <w:szCs w:val="26"/>
        </w:rPr>
        <w:t>й</w:t>
      </w:r>
      <w:r w:rsidR="00CE2BCA" w:rsidRPr="000D4283">
        <w:rPr>
          <w:sz w:val="26"/>
          <w:szCs w:val="26"/>
        </w:rPr>
        <w:t xml:space="preserve"> </w:t>
      </w:r>
      <w:r w:rsidR="00CE2BCA">
        <w:rPr>
          <w:sz w:val="26"/>
          <w:szCs w:val="26"/>
        </w:rPr>
        <w:t xml:space="preserve">                 </w:t>
      </w:r>
      <w:r w:rsidR="00CE2BCA" w:rsidRPr="000D4283">
        <w:rPr>
          <w:sz w:val="26"/>
          <w:szCs w:val="26"/>
        </w:rPr>
        <w:t xml:space="preserve">по целевому назначению, а так же обязанности по оплате расходов, связанных  </w:t>
      </w:r>
      <w:r w:rsidR="00CE2BCA">
        <w:rPr>
          <w:sz w:val="26"/>
          <w:szCs w:val="26"/>
        </w:rPr>
        <w:t xml:space="preserve">                   </w:t>
      </w:r>
      <w:r w:rsidR="00CE2BCA" w:rsidRPr="000D4283">
        <w:rPr>
          <w:sz w:val="26"/>
          <w:szCs w:val="26"/>
        </w:rPr>
        <w:t>с содержанием и ремонтом имущества многоквартирного дома, в котором расположен</w:t>
      </w:r>
      <w:r w:rsidR="00CE2BCA">
        <w:rPr>
          <w:sz w:val="26"/>
          <w:szCs w:val="26"/>
        </w:rPr>
        <w:t>ы</w:t>
      </w:r>
      <w:r w:rsidR="00CE2BCA" w:rsidRPr="000D4283">
        <w:rPr>
          <w:sz w:val="26"/>
          <w:szCs w:val="26"/>
        </w:rPr>
        <w:t xml:space="preserve"> Помещени</w:t>
      </w:r>
      <w:r w:rsidR="00CE2BCA">
        <w:rPr>
          <w:sz w:val="26"/>
          <w:szCs w:val="26"/>
        </w:rPr>
        <w:t>я</w:t>
      </w:r>
      <w:r w:rsidR="00CE2BCA" w:rsidRPr="000D4283">
        <w:rPr>
          <w:sz w:val="26"/>
          <w:szCs w:val="26"/>
        </w:rPr>
        <w:t>.</w:t>
      </w:r>
      <w:proofErr w:type="gramEnd"/>
      <w:r w:rsidR="00CE2BCA" w:rsidRPr="000D4283">
        <w:rPr>
          <w:sz w:val="26"/>
          <w:szCs w:val="26"/>
        </w:rPr>
        <w:t xml:space="preserve"> Во исполнение указанных выше обязательств, Арендатор самостоятельно в течение</w:t>
      </w:r>
      <w:r w:rsidR="00CE2BCA">
        <w:rPr>
          <w:sz w:val="26"/>
          <w:szCs w:val="26"/>
        </w:rPr>
        <w:t xml:space="preserve"> </w:t>
      </w:r>
      <w:r w:rsidR="00CE2BCA" w:rsidRPr="000D4283">
        <w:rPr>
          <w:sz w:val="26"/>
          <w:szCs w:val="26"/>
        </w:rPr>
        <w:t>30 (тридцати) календарных дней с момента подписания акта приема-передачи Помещени</w:t>
      </w:r>
      <w:r w:rsidR="00CE2BCA">
        <w:rPr>
          <w:sz w:val="26"/>
          <w:szCs w:val="26"/>
        </w:rPr>
        <w:t>й</w:t>
      </w:r>
      <w:r w:rsidR="00CE2BCA" w:rsidRPr="000D4283">
        <w:rPr>
          <w:sz w:val="26"/>
          <w:szCs w:val="26"/>
        </w:rPr>
        <w:t xml:space="preserve"> обязуется заключить соответствующие договоры </w:t>
      </w:r>
      <w:r w:rsidR="00CE2BCA">
        <w:rPr>
          <w:sz w:val="26"/>
          <w:szCs w:val="26"/>
        </w:rPr>
        <w:t xml:space="preserve">             </w:t>
      </w:r>
      <w:r w:rsidR="00CE2BCA" w:rsidRPr="000D4283">
        <w:rPr>
          <w:sz w:val="26"/>
          <w:szCs w:val="26"/>
        </w:rPr>
        <w:t>с организацией, осуществляющей управление многоквартирным домом (УК, ТСЖ, ЖКС и т.п.)</w:t>
      </w:r>
      <w:r w:rsidR="00CE2BCA">
        <w:rPr>
          <w:sz w:val="26"/>
          <w:szCs w:val="26"/>
        </w:rPr>
        <w:t>,</w:t>
      </w:r>
      <w:r w:rsidR="00CE2BCA" w:rsidRPr="000D4283">
        <w:rPr>
          <w:sz w:val="26"/>
          <w:szCs w:val="26"/>
        </w:rPr>
        <w:t xml:space="preserve"> </w:t>
      </w:r>
      <w:r w:rsidR="00CE2BCA">
        <w:rPr>
          <w:sz w:val="26"/>
          <w:szCs w:val="26"/>
        </w:rPr>
        <w:t>в котором находя</w:t>
      </w:r>
      <w:r w:rsidR="00CE2BCA" w:rsidRPr="000D4283">
        <w:rPr>
          <w:sz w:val="26"/>
          <w:szCs w:val="26"/>
        </w:rPr>
        <w:t>тся Помещени</w:t>
      </w:r>
      <w:r w:rsidR="00CE2BCA">
        <w:rPr>
          <w:sz w:val="26"/>
          <w:szCs w:val="26"/>
        </w:rPr>
        <w:t>я</w:t>
      </w:r>
      <w:r w:rsidR="00CE2BCA" w:rsidRPr="000D4283">
        <w:rPr>
          <w:sz w:val="26"/>
          <w:szCs w:val="26"/>
        </w:rPr>
        <w:t>, а так же с организациями – поставщиками коммунальных ресурсов (</w:t>
      </w:r>
      <w:proofErr w:type="spellStart"/>
      <w:r w:rsidR="00CE2BCA" w:rsidRPr="000D4283">
        <w:rPr>
          <w:sz w:val="26"/>
          <w:szCs w:val="26"/>
        </w:rPr>
        <w:t>ресурсоснабжающими</w:t>
      </w:r>
      <w:proofErr w:type="spellEnd"/>
      <w:r w:rsidR="00CE2BCA" w:rsidRPr="000D4283">
        <w:rPr>
          <w:sz w:val="26"/>
          <w:szCs w:val="26"/>
        </w:rPr>
        <w:t xml:space="preserve"> организациями). </w:t>
      </w:r>
      <w:r w:rsidR="00CE2BCA">
        <w:rPr>
          <w:sz w:val="26"/>
          <w:szCs w:val="26"/>
        </w:rPr>
        <w:t xml:space="preserve">               </w:t>
      </w:r>
      <w:r w:rsidR="00CE2BCA" w:rsidRPr="000D4283">
        <w:rPr>
          <w:sz w:val="26"/>
          <w:szCs w:val="26"/>
        </w:rPr>
        <w:t xml:space="preserve">В том случае, если услуга по вывозу ТБО не включена в перечень работ по договору, заключенному Арендатором с организацией, осуществляющей управление </w:t>
      </w:r>
      <w:r w:rsidR="00CE2BCA" w:rsidRPr="000D4283">
        <w:rPr>
          <w:sz w:val="26"/>
          <w:szCs w:val="26"/>
        </w:rPr>
        <w:lastRenderedPageBreak/>
        <w:t>многоквартирным домом, в котором наход</w:t>
      </w:r>
      <w:r w:rsidR="00CE2BCA">
        <w:rPr>
          <w:sz w:val="26"/>
          <w:szCs w:val="26"/>
        </w:rPr>
        <w:t>я</w:t>
      </w:r>
      <w:r w:rsidR="00CE2BCA" w:rsidRPr="000D4283">
        <w:rPr>
          <w:sz w:val="26"/>
          <w:szCs w:val="26"/>
        </w:rPr>
        <w:t>тся Помещени</w:t>
      </w:r>
      <w:r w:rsidR="00CE2BCA">
        <w:rPr>
          <w:sz w:val="26"/>
          <w:szCs w:val="26"/>
        </w:rPr>
        <w:t>я</w:t>
      </w:r>
      <w:r w:rsidR="00CE2BCA" w:rsidRPr="000D4283">
        <w:rPr>
          <w:sz w:val="26"/>
          <w:szCs w:val="26"/>
        </w:rPr>
        <w:t xml:space="preserve">, Арендатор в указанный выше срок обязан заключить самостоятельный договор на вывоз ТБО. </w:t>
      </w:r>
    </w:p>
    <w:p w:rsidR="00CE2BCA" w:rsidRPr="000D4283" w:rsidRDefault="00CE2BCA" w:rsidP="00CE2BCA">
      <w:pPr>
        <w:pStyle w:val="a4"/>
        <w:rPr>
          <w:sz w:val="26"/>
          <w:szCs w:val="26"/>
        </w:rPr>
      </w:pPr>
      <w:r w:rsidRPr="000D4283">
        <w:rPr>
          <w:sz w:val="26"/>
          <w:szCs w:val="26"/>
        </w:rPr>
        <w:t xml:space="preserve">В течение 10 (десяти) дней с момента заключения указанных договоров Арендатор обязуется представить их копии Арендодателю. </w:t>
      </w:r>
    </w:p>
    <w:p w:rsidR="00CE2BCA" w:rsidRPr="000D4283" w:rsidRDefault="00CE2BCA" w:rsidP="00CE2BCA">
      <w:pPr>
        <w:pStyle w:val="a4"/>
        <w:rPr>
          <w:sz w:val="26"/>
          <w:szCs w:val="26"/>
        </w:rPr>
      </w:pPr>
      <w:r w:rsidRPr="000D4283">
        <w:rPr>
          <w:sz w:val="26"/>
          <w:szCs w:val="26"/>
        </w:rPr>
        <w:t xml:space="preserve">В случае несвоевременного заключения обозначенных в настоящем пункте договоров Арендатор обязуется возместить </w:t>
      </w:r>
      <w:proofErr w:type="gramStart"/>
      <w:r w:rsidRPr="000D4283">
        <w:rPr>
          <w:sz w:val="26"/>
          <w:szCs w:val="26"/>
        </w:rPr>
        <w:t>расходы</w:t>
      </w:r>
      <w:proofErr w:type="gramEnd"/>
      <w:r w:rsidRPr="000D4283">
        <w:rPr>
          <w:sz w:val="26"/>
          <w:szCs w:val="26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            </w:t>
      </w:r>
    </w:p>
    <w:p w:rsidR="00EF674B" w:rsidRPr="00CC101C" w:rsidRDefault="00EF674B" w:rsidP="00CE2BCA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омещения системой пожарной сигнализации, системой оповещения и управления эвакуацией людей при пожаре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соответствии  с целями использования муниципального имущества, </w:t>
      </w:r>
      <w:r w:rsidR="00271D4E">
        <w:rPr>
          <w:sz w:val="26"/>
          <w:szCs w:val="26"/>
        </w:rPr>
        <w:br/>
      </w:r>
      <w:r w:rsidRPr="00CC101C">
        <w:rPr>
          <w:sz w:val="26"/>
          <w:szCs w:val="26"/>
        </w:rPr>
        <w:t>с</w:t>
      </w:r>
      <w:proofErr w:type="gramEnd"/>
      <w:r w:rsidRPr="00CC101C">
        <w:rPr>
          <w:sz w:val="26"/>
          <w:szCs w:val="26"/>
        </w:rPr>
        <w:t xml:space="preserve">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по выполнению работ по техническому обслуживанию автоматической пожарной сигнализации и оповещения людей при пожаре 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>оговора, при этом договор страхования может быть заключен как на весь указанный срок, так и путем заключения нескольких договоров страхования со сроком действия не менее года  (в данном случае каждый последующий договор страхования должен 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В случае возобновления Договора на неопределенный срок каждый последующий договор страхования (страхового полиса)  должен быть заключен не позднее следующего дня после прекращения срока действия предыдущего  договора </w:t>
      </w:r>
      <w:r w:rsidRPr="00EF674B">
        <w:rPr>
          <w:sz w:val="26"/>
          <w:szCs w:val="26"/>
        </w:rPr>
        <w:lastRenderedPageBreak/>
        <w:t>страхования (страхового полиса) в порядке, предусмотренном абзацем 2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 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>с учетом НДС (для</w:t>
      </w:r>
      <w:r w:rsidR="00CE2BCA">
        <w:rPr>
          <w:sz w:val="26"/>
          <w:szCs w:val="26"/>
        </w:rPr>
        <w:t xml:space="preserve"> физических лиц, в том числе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>0120, получатель платежа</w:t>
      </w:r>
      <w:proofErr w:type="gramEnd"/>
      <w:r w:rsidR="001B1423" w:rsidRPr="0040688D">
        <w:rPr>
          <w:sz w:val="26"/>
          <w:szCs w:val="26"/>
        </w:rPr>
        <w:t xml:space="preserve"> – УФК </w:t>
      </w:r>
      <w:r w:rsidR="000C138D" w:rsidRPr="0040688D">
        <w:rPr>
          <w:sz w:val="26"/>
          <w:szCs w:val="26"/>
        </w:rPr>
        <w:t xml:space="preserve">по Архангельской области и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3.3. Моментом исполнения Арендатором обязательств по внесению определённых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</w:t>
      </w:r>
      <w:r w:rsidRPr="0040688D">
        <w:rPr>
          <w:sz w:val="26"/>
          <w:szCs w:val="26"/>
        </w:rPr>
        <w:lastRenderedPageBreak/>
        <w:t xml:space="preserve">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P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Санкции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обязан уплатить 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 xml:space="preserve">оговора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lastRenderedPageBreak/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незаключение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незаключения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>ся 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Pr="00C86F70">
        <w:rPr>
          <w:sz w:val="26"/>
          <w:szCs w:val="26"/>
        </w:rPr>
        <w:t xml:space="preserve">  Арендатор выплачивает Арендодателю пени в размере 0,5 (пять десятых) процента с суммы просроченного платежа за каждый календарный день 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 xml:space="preserve">оговора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</w:t>
      </w:r>
      <w:r w:rsidR="00AD7914" w:rsidRPr="00AD7914">
        <w:rPr>
          <w:sz w:val="26"/>
          <w:szCs w:val="26"/>
        </w:rPr>
        <w:t>. Если Арендатор 2 (два)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>оговора, рассматриваются в судебном порядке, установленном действующим законодательством Российской Федерации.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Pr="0040688D">
        <w:rPr>
          <w:sz w:val="26"/>
          <w:szCs w:val="26"/>
        </w:rPr>
        <w:t>и уведомлений на электронную почту Арендатора считается дата их отправления Арендодателем.</w:t>
      </w:r>
    </w:p>
    <w:p w:rsidR="00AD7914" w:rsidRPr="0040688D" w:rsidRDefault="00AD7914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530"/>
        <w:gridCol w:w="4887"/>
      </w:tblGrid>
      <w:tr w:rsidR="00AD7914" w:rsidRPr="00AD791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Арендодатель: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Администрация городского округа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"Город Архангельск"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163000, г. Архангельск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пл. В.И. Ленина, д. 5,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ИНН 2901065991, КПП 290101001,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Зарегистрировано Инспекцией Министерства Российской Федерации                      по налогам и сборам по                                 </w:t>
            </w:r>
            <w:r w:rsidRPr="00AD7914">
              <w:rPr>
                <w:sz w:val="26"/>
                <w:szCs w:val="26"/>
              </w:rPr>
              <w:lastRenderedPageBreak/>
              <w:t>г. Архангельску 20 августа 2002 года за ОГРН 1022900509521, свидетельство серия 29 № 000634270,</w:t>
            </w:r>
          </w:p>
          <w:p w:rsidR="00AD7914" w:rsidRPr="00AD7914" w:rsidRDefault="00AD7914" w:rsidP="00CE2BCA">
            <w:pPr>
              <w:ind w:right="55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 (8182) 60-72-55, (8182) 60-72-84, факс (8182) 60-72-80.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Заместитель Главы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 "Город Архангельск" по вопросам экономического развития и финансам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________________ Д.В. Шапошников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Арендатор: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 xml:space="preserve">, г.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д. 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>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КПП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ОГРН </w:t>
            </w:r>
            <w:r>
              <w:rPr>
                <w:sz w:val="26"/>
                <w:szCs w:val="26"/>
              </w:rPr>
              <w:t>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тел./факс</w:t>
            </w:r>
            <w:proofErr w:type="gramStart"/>
            <w:r w:rsidRPr="00AD7914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___</w:t>
            </w:r>
            <w:r w:rsidRPr="00AD7914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_______________</w:t>
            </w:r>
            <w:r w:rsidRPr="00AD7914">
              <w:rPr>
                <w:sz w:val="26"/>
                <w:szCs w:val="26"/>
              </w:rPr>
              <w:t xml:space="preserve">, </w:t>
            </w:r>
            <w:proofErr w:type="gramEnd"/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адрес эл. почты: _________________.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</w:t>
            </w: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_________________ </w:t>
            </w:r>
            <w:r>
              <w:rPr>
                <w:sz w:val="26"/>
                <w:szCs w:val="26"/>
              </w:rPr>
              <w:t>/_______________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>.</w:t>
            </w: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765C09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proofErr w:type="spellStart"/>
      <w:r w:rsidR="00CE2BCA" w:rsidRPr="00CE2BCA">
        <w:rPr>
          <w:sz w:val="26"/>
          <w:szCs w:val="26"/>
          <w:u w:val="single"/>
        </w:rPr>
        <w:t>Сл</w:t>
      </w:r>
      <w:proofErr w:type="spellEnd"/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B7071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 xml:space="preserve">городской округ "Город Архангельск", город Архангельск, улица </w:t>
      </w:r>
      <w:r w:rsidR="00022A01">
        <w:rPr>
          <w:sz w:val="26"/>
          <w:szCs w:val="26"/>
        </w:rPr>
        <w:t>Советская</w:t>
      </w:r>
      <w:r>
        <w:rPr>
          <w:sz w:val="26"/>
          <w:szCs w:val="26"/>
        </w:rPr>
        <w:t xml:space="preserve">, дом </w:t>
      </w:r>
      <w:r w:rsidR="00022A01">
        <w:rPr>
          <w:sz w:val="26"/>
          <w:szCs w:val="26"/>
        </w:rPr>
        <w:t>32</w:t>
      </w:r>
      <w:r>
        <w:rPr>
          <w:sz w:val="26"/>
          <w:szCs w:val="26"/>
        </w:rPr>
        <w:t xml:space="preserve">, помещение </w:t>
      </w:r>
      <w:r w:rsidR="00022A01">
        <w:rPr>
          <w:sz w:val="26"/>
          <w:szCs w:val="26"/>
        </w:rPr>
        <w:t>2</w:t>
      </w:r>
      <w:r w:rsidR="00B7071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К</w:t>
      </w:r>
      <w:r w:rsidRPr="00C27560">
        <w:rPr>
          <w:sz w:val="26"/>
          <w:szCs w:val="26"/>
        </w:rPr>
        <w:t>адастровы</w:t>
      </w:r>
      <w:r w:rsidR="00B7071D">
        <w:rPr>
          <w:sz w:val="26"/>
          <w:szCs w:val="26"/>
        </w:rPr>
        <w:t>й</w:t>
      </w:r>
      <w:r w:rsidRPr="00C27560">
        <w:rPr>
          <w:sz w:val="26"/>
          <w:szCs w:val="26"/>
        </w:rPr>
        <w:t xml:space="preserve"> номер 29:22:</w:t>
      </w:r>
      <w:r w:rsidR="00022A01">
        <w:rPr>
          <w:sz w:val="26"/>
          <w:szCs w:val="26"/>
        </w:rPr>
        <w:t>022528</w:t>
      </w:r>
      <w:r w:rsidRPr="00C27560">
        <w:rPr>
          <w:sz w:val="26"/>
          <w:szCs w:val="26"/>
        </w:rPr>
        <w:t>:</w:t>
      </w:r>
      <w:r w:rsidR="00022A01">
        <w:rPr>
          <w:sz w:val="26"/>
          <w:szCs w:val="26"/>
        </w:rPr>
        <w:t>510</w:t>
      </w:r>
      <w:r w:rsidR="00B7071D">
        <w:rPr>
          <w:sz w:val="26"/>
          <w:szCs w:val="26"/>
        </w:rPr>
        <w:t xml:space="preserve">. Общая площадь </w:t>
      </w:r>
      <w:r w:rsidR="00022A01">
        <w:rPr>
          <w:sz w:val="26"/>
          <w:szCs w:val="26"/>
        </w:rPr>
        <w:t>42</w:t>
      </w:r>
      <w:r w:rsidR="00B7071D">
        <w:rPr>
          <w:sz w:val="26"/>
          <w:szCs w:val="26"/>
        </w:rPr>
        <w:t xml:space="preserve"> кв.</w:t>
      </w:r>
      <w:r w:rsidR="00AF6272"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м.</w:t>
      </w:r>
    </w:p>
    <w:p w:rsidR="00C8457F" w:rsidRPr="0040688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15A16" w:rsidRDefault="00022A01" w:rsidP="00022A01">
      <w:pPr>
        <w:jc w:val="center"/>
        <w:rPr>
          <w:sz w:val="26"/>
          <w:szCs w:val="26"/>
        </w:rPr>
      </w:pPr>
      <w:r>
        <w:rPr>
          <w:sz w:val="26"/>
          <w:szCs w:val="26"/>
        </w:rPr>
        <w:t>Антресольный этаж</w:t>
      </w:r>
    </w:p>
    <w:p w:rsidR="00022A01" w:rsidRPr="0040688D" w:rsidRDefault="00022A01" w:rsidP="00022A01">
      <w:pPr>
        <w:jc w:val="center"/>
        <w:rPr>
          <w:sz w:val="26"/>
          <w:szCs w:val="26"/>
        </w:rPr>
      </w:pPr>
      <w:r>
        <w:rPr>
          <w:sz w:val="26"/>
          <w:szCs w:val="26"/>
        </w:rPr>
        <w:t>Помещение № 19</w:t>
      </w:r>
    </w:p>
    <w:p w:rsidR="00315A16" w:rsidRDefault="00DA5FA4" w:rsidP="00DA5FA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p w:rsidR="00DA5FA4" w:rsidRDefault="00022A01" w:rsidP="00DA5FA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120000" cy="3996000"/>
            <wp:effectExtent l="76200" t="114300" r="71755" b="1193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80000">
                      <a:off x="0" y="0"/>
                      <a:ext cx="6120000" cy="39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Default="00315A16" w:rsidP="00DA5FA4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310F75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E4" w:rsidRDefault="005D35E4" w:rsidP="00A70309">
      <w:r>
        <w:separator/>
      </w:r>
    </w:p>
  </w:endnote>
  <w:endnote w:type="continuationSeparator" w:id="0">
    <w:p w:rsidR="005D35E4" w:rsidRDefault="005D35E4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E4" w:rsidRDefault="005D35E4" w:rsidP="00A70309">
      <w:r>
        <w:separator/>
      </w:r>
    </w:p>
  </w:footnote>
  <w:footnote w:type="continuationSeparator" w:id="0">
    <w:p w:rsidR="005D35E4" w:rsidRDefault="005D35E4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765C09">
      <w:rPr>
        <w:noProof/>
        <w:sz w:val="24"/>
        <w:szCs w:val="24"/>
      </w:rPr>
      <w:t>2</w:t>
    </w:r>
    <w:r w:rsidRPr="009178AA">
      <w:rPr>
        <w:sz w:val="24"/>
        <w:szCs w:val="24"/>
      </w:rPr>
      <w:fldChar w:fldCharType="end"/>
    </w:r>
  </w:p>
  <w:p w:rsidR="0040688D" w:rsidRDefault="0040688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22A01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47D0F"/>
    <w:rsid w:val="00151355"/>
    <w:rsid w:val="00151B89"/>
    <w:rsid w:val="001520E1"/>
    <w:rsid w:val="001677CD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41C5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069AB"/>
    <w:rsid w:val="00211C53"/>
    <w:rsid w:val="0021489B"/>
    <w:rsid w:val="00232138"/>
    <w:rsid w:val="00235061"/>
    <w:rsid w:val="002357F3"/>
    <w:rsid w:val="00236CCB"/>
    <w:rsid w:val="00242DBB"/>
    <w:rsid w:val="00252CC6"/>
    <w:rsid w:val="0025675E"/>
    <w:rsid w:val="00257DDD"/>
    <w:rsid w:val="00261CF8"/>
    <w:rsid w:val="00271D4E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0F75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62EB1"/>
    <w:rsid w:val="003649B4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4342"/>
    <w:rsid w:val="0040688D"/>
    <w:rsid w:val="00412271"/>
    <w:rsid w:val="00412ABE"/>
    <w:rsid w:val="004249D7"/>
    <w:rsid w:val="00426AB2"/>
    <w:rsid w:val="004272ED"/>
    <w:rsid w:val="00436697"/>
    <w:rsid w:val="004415A2"/>
    <w:rsid w:val="004418E4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4D6D"/>
    <w:rsid w:val="005779C4"/>
    <w:rsid w:val="005835FD"/>
    <w:rsid w:val="0058765F"/>
    <w:rsid w:val="0059021A"/>
    <w:rsid w:val="005942C0"/>
    <w:rsid w:val="005975CF"/>
    <w:rsid w:val="0059767B"/>
    <w:rsid w:val="005A0C3C"/>
    <w:rsid w:val="005A39DA"/>
    <w:rsid w:val="005A70FA"/>
    <w:rsid w:val="005A7EF8"/>
    <w:rsid w:val="005B0616"/>
    <w:rsid w:val="005B5A66"/>
    <w:rsid w:val="005B5CA0"/>
    <w:rsid w:val="005B5F9F"/>
    <w:rsid w:val="005B68B6"/>
    <w:rsid w:val="005C0FD7"/>
    <w:rsid w:val="005D35E4"/>
    <w:rsid w:val="005D6BB3"/>
    <w:rsid w:val="005D6D08"/>
    <w:rsid w:val="005D70C2"/>
    <w:rsid w:val="005D7F6A"/>
    <w:rsid w:val="005E0315"/>
    <w:rsid w:val="005F048A"/>
    <w:rsid w:val="005F1C26"/>
    <w:rsid w:val="005F2CB8"/>
    <w:rsid w:val="00603B13"/>
    <w:rsid w:val="00607777"/>
    <w:rsid w:val="00610C99"/>
    <w:rsid w:val="0061136A"/>
    <w:rsid w:val="00611C9A"/>
    <w:rsid w:val="00615E4C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5C09"/>
    <w:rsid w:val="00767394"/>
    <w:rsid w:val="00767A3A"/>
    <w:rsid w:val="00773A8D"/>
    <w:rsid w:val="00774DB5"/>
    <w:rsid w:val="007866B0"/>
    <w:rsid w:val="0078713F"/>
    <w:rsid w:val="007919DE"/>
    <w:rsid w:val="007A01B3"/>
    <w:rsid w:val="007A0458"/>
    <w:rsid w:val="007A33C2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20F2C"/>
    <w:rsid w:val="00824C22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6F0D"/>
    <w:rsid w:val="008E70AE"/>
    <w:rsid w:val="008E7A9C"/>
    <w:rsid w:val="008F060C"/>
    <w:rsid w:val="0090565E"/>
    <w:rsid w:val="00906931"/>
    <w:rsid w:val="00910F05"/>
    <w:rsid w:val="009125F3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A1C40"/>
    <w:rsid w:val="009A223E"/>
    <w:rsid w:val="009A2AB6"/>
    <w:rsid w:val="009B3511"/>
    <w:rsid w:val="009C3378"/>
    <w:rsid w:val="009C795C"/>
    <w:rsid w:val="009D5863"/>
    <w:rsid w:val="009E3745"/>
    <w:rsid w:val="009F2636"/>
    <w:rsid w:val="009F4D95"/>
    <w:rsid w:val="00A00D02"/>
    <w:rsid w:val="00A00D9E"/>
    <w:rsid w:val="00A02B4D"/>
    <w:rsid w:val="00A04E5F"/>
    <w:rsid w:val="00A0621C"/>
    <w:rsid w:val="00A170EE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D1F5E"/>
    <w:rsid w:val="00AD7914"/>
    <w:rsid w:val="00AE2641"/>
    <w:rsid w:val="00AE4CAB"/>
    <w:rsid w:val="00AE5043"/>
    <w:rsid w:val="00AF2B25"/>
    <w:rsid w:val="00AF6272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3100"/>
    <w:rsid w:val="00B736B2"/>
    <w:rsid w:val="00B7732B"/>
    <w:rsid w:val="00B97B31"/>
    <w:rsid w:val="00BA0EE4"/>
    <w:rsid w:val="00BA1110"/>
    <w:rsid w:val="00BC00B3"/>
    <w:rsid w:val="00BC00E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7560"/>
    <w:rsid w:val="00C31675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678A"/>
    <w:rsid w:val="00CD325A"/>
    <w:rsid w:val="00CD643B"/>
    <w:rsid w:val="00CE1FBB"/>
    <w:rsid w:val="00CE2BCA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674B"/>
    <w:rsid w:val="00EF7B41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D910-646C-489A-9576-9B2073F9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3838</Words>
  <Characters>21882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6</cp:revision>
  <cp:lastPrinted>2025-10-21T10:43:00Z</cp:lastPrinted>
  <dcterms:created xsi:type="dcterms:W3CDTF">2025-10-20T12:09:00Z</dcterms:created>
  <dcterms:modified xsi:type="dcterms:W3CDTF">2025-10-21T12:54:00Z</dcterms:modified>
</cp:coreProperties>
</file>